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F0" w:rsidRDefault="0055097E">
      <w:pPr>
        <w:jc w:val="center"/>
        <w:rPr>
          <w:b/>
          <w:sz w:val="32"/>
          <w:szCs w:val="32"/>
        </w:rPr>
      </w:pPr>
      <w:bookmarkStart w:id="0" w:name="_GoBack"/>
      <w:bookmarkEnd w:id="0"/>
      <w:r>
        <w:rPr>
          <w:b/>
          <w:sz w:val="32"/>
          <w:szCs w:val="32"/>
        </w:rPr>
        <w:t>SHI Grant Budget Justification Template</w:t>
      </w:r>
    </w:p>
    <w:p w:rsidR="00AD20F0" w:rsidRDefault="00AD20F0">
      <w:pPr>
        <w:rPr>
          <w:sz w:val="32"/>
          <w:szCs w:val="32"/>
        </w:rPr>
      </w:pPr>
    </w:p>
    <w:p w:rsidR="00AD20F0" w:rsidRDefault="0055097E">
      <w:r>
        <w:t xml:space="preserve">Name: </w:t>
      </w:r>
    </w:p>
    <w:p w:rsidR="00AD20F0" w:rsidRDefault="0055097E">
      <w:r>
        <w:t>Project Title:</w:t>
      </w:r>
    </w:p>
    <w:p w:rsidR="00AD20F0" w:rsidRDefault="0055097E">
      <w:r>
        <w:t>Project dates:</w:t>
      </w:r>
    </w:p>
    <w:p w:rsidR="00AD20F0" w:rsidRDefault="00AD20F0"/>
    <w:p w:rsidR="00AD20F0" w:rsidRDefault="0055097E">
      <w:r>
        <w:t>Requested amount for FY19:</w:t>
      </w:r>
    </w:p>
    <w:p w:rsidR="00AD20F0" w:rsidRDefault="0055097E">
      <w:pPr>
        <w:rPr>
          <w:b/>
          <w:sz w:val="20"/>
          <w:szCs w:val="20"/>
        </w:rPr>
      </w:pPr>
      <w:r>
        <w:rPr>
          <w:b/>
          <w:sz w:val="20"/>
          <w:szCs w:val="20"/>
        </w:rPr>
        <w:t>*Please be sure requested amount is equal to the sum of itemized description*</w:t>
      </w:r>
    </w:p>
    <w:p w:rsidR="00AD20F0" w:rsidRDefault="0055097E">
      <w:pPr>
        <w:rPr>
          <w:b/>
          <w:sz w:val="20"/>
          <w:szCs w:val="20"/>
        </w:rPr>
      </w:pPr>
      <w:r>
        <w:rPr>
          <w:b/>
          <w:sz w:val="20"/>
          <w:szCs w:val="20"/>
        </w:rPr>
        <w:t>**Any reimbursement occurring after June 30 is considered the following FY**</w:t>
      </w:r>
    </w:p>
    <w:p w:rsidR="00AD20F0" w:rsidRDefault="00AD20F0"/>
    <w:p w:rsidR="00AD20F0" w:rsidRDefault="0055097E">
      <w:pPr>
        <w:rPr>
          <w:b/>
          <w:u w:val="single"/>
        </w:rPr>
      </w:pPr>
      <w:r>
        <w:rPr>
          <w:b/>
          <w:u w:val="single"/>
        </w:rPr>
        <w:t>Budget:</w:t>
      </w:r>
    </w:p>
    <w:tbl>
      <w:tblPr>
        <w:tblStyle w:val="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5"/>
        <w:gridCol w:w="1815"/>
      </w:tblGrid>
      <w:tr w:rsidR="00AD20F0">
        <w:tc>
          <w:tcPr>
            <w:tcW w:w="8925" w:type="dxa"/>
            <w:tcBorders>
              <w:bottom w:val="single" w:sz="12" w:space="0" w:color="000000"/>
            </w:tcBorders>
            <w:vAlign w:val="center"/>
          </w:tcPr>
          <w:p w:rsidR="00AD20F0" w:rsidRDefault="0055097E">
            <w:pPr>
              <w:ind w:firstLine="20"/>
              <w:jc w:val="center"/>
            </w:pPr>
            <w:r>
              <w:t>Description</w:t>
            </w:r>
          </w:p>
        </w:tc>
        <w:tc>
          <w:tcPr>
            <w:tcW w:w="1815" w:type="dxa"/>
            <w:tcBorders>
              <w:bottom w:val="single" w:sz="12" w:space="0" w:color="000000"/>
            </w:tcBorders>
            <w:vAlign w:val="center"/>
          </w:tcPr>
          <w:p w:rsidR="00AD20F0" w:rsidRDefault="0055097E">
            <w:pPr>
              <w:jc w:val="center"/>
            </w:pPr>
            <w:r>
              <w:t>Cost</w:t>
            </w:r>
          </w:p>
        </w:tc>
      </w:tr>
      <w:tr w:rsidR="00AD20F0">
        <w:tc>
          <w:tcPr>
            <w:tcW w:w="8925" w:type="dxa"/>
            <w:tcBorders>
              <w:top w:val="single" w:sz="12" w:space="0" w:color="000000"/>
            </w:tcBorders>
          </w:tcPr>
          <w:p w:rsidR="00AD20F0" w:rsidRDefault="00AD20F0"/>
        </w:tc>
        <w:tc>
          <w:tcPr>
            <w:tcW w:w="1815" w:type="dxa"/>
            <w:tcBorders>
              <w:top w:val="single" w:sz="12" w:space="0" w:color="000000"/>
            </w:tcBorders>
          </w:tcPr>
          <w:p w:rsidR="00AD20F0" w:rsidRDefault="00AD20F0">
            <w:pPr>
              <w:jc w:val="right"/>
            </w:pPr>
          </w:p>
        </w:tc>
      </w:tr>
      <w:tr w:rsidR="00AD20F0">
        <w:trPr>
          <w:trHeight w:val="320"/>
        </w:trPr>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r w:rsidR="00AD20F0">
        <w:tc>
          <w:tcPr>
            <w:tcW w:w="8925" w:type="dxa"/>
          </w:tcPr>
          <w:p w:rsidR="00AD20F0" w:rsidRDefault="00AD20F0"/>
        </w:tc>
        <w:tc>
          <w:tcPr>
            <w:tcW w:w="1815" w:type="dxa"/>
          </w:tcPr>
          <w:p w:rsidR="00AD20F0" w:rsidRDefault="00AD20F0">
            <w:pPr>
              <w:jc w:val="right"/>
            </w:pPr>
          </w:p>
        </w:tc>
      </w:tr>
    </w:tbl>
    <w:p w:rsidR="00AD20F0" w:rsidRDefault="00AD20F0"/>
    <w:p w:rsidR="00AD20F0" w:rsidRDefault="0055097E">
      <w:pPr>
        <w:rPr>
          <w:b/>
          <w:u w:val="single"/>
        </w:rPr>
      </w:pPr>
      <w:r>
        <w:rPr>
          <w:b/>
          <w:u w:val="single"/>
        </w:rPr>
        <w:t>Budget Justification:</w:t>
      </w:r>
    </w:p>
    <w:p w:rsidR="00AD20F0" w:rsidRDefault="00AD20F0">
      <w:pPr>
        <w:rPr>
          <w:b/>
          <w:u w:val="single"/>
        </w:rPr>
      </w:pPr>
    </w:p>
    <w:p w:rsidR="00AD20F0" w:rsidRDefault="0055097E">
      <w:r>
        <w:t xml:space="preserve">Please provide an itemized justification for items listed above to make it clear how you arrived at the requested amounts for each line. Err on the side of too much detail as unclear budgets will require additional clarification and may delay review of your proposal. </w:t>
      </w:r>
    </w:p>
    <w:p w:rsidR="00AD20F0" w:rsidRDefault="00AD20F0"/>
    <w:p w:rsidR="00AD20F0" w:rsidRDefault="0055097E">
      <w:r>
        <w:t>To calculate your meals and lodging you can consult this site: (</w:t>
      </w:r>
      <w:hyperlink r:id="rId5">
        <w:r>
          <w:rPr>
            <w:color w:val="0563C1"/>
            <w:u w:val="single"/>
          </w:rPr>
          <w:t>https://www.gsa.gov/portal/content/101518</w:t>
        </w:r>
      </w:hyperlink>
      <w:r>
        <w:t xml:space="preserve">) for ideas. However, keep in mind SHI doesn't use the </w:t>
      </w:r>
      <w:r>
        <w:rPr>
          <w:i/>
        </w:rPr>
        <w:t>per diem</w:t>
      </w:r>
      <w:r>
        <w:t>.</w:t>
      </w:r>
    </w:p>
    <w:p w:rsidR="00AD20F0" w:rsidRDefault="00AD20F0"/>
    <w:p w:rsidR="00AD20F0" w:rsidRDefault="0055097E">
      <w:r>
        <w:t>The current mileage rate is $0.545/mi.</w:t>
      </w:r>
    </w:p>
    <w:p w:rsidR="00AD20F0" w:rsidRDefault="00AD20F0"/>
    <w:p w:rsidR="00AD20F0" w:rsidRDefault="0055097E">
      <w:pPr>
        <w:rPr>
          <w:u w:val="single"/>
        </w:rPr>
      </w:pPr>
      <w:r>
        <w:rPr>
          <w:u w:val="single"/>
        </w:rPr>
        <w:t>The following are unallowable expenses:</w:t>
      </w:r>
    </w:p>
    <w:p w:rsidR="00AD20F0" w:rsidRDefault="0055097E">
      <w:pPr>
        <w:numPr>
          <w:ilvl w:val="0"/>
          <w:numId w:val="1"/>
        </w:numPr>
        <w:pBdr>
          <w:top w:val="nil"/>
          <w:left w:val="nil"/>
          <w:bottom w:val="nil"/>
          <w:right w:val="nil"/>
          <w:between w:val="nil"/>
        </w:pBdr>
        <w:contextualSpacing/>
      </w:pPr>
      <w:r>
        <w:rPr>
          <w:color w:val="000000"/>
        </w:rPr>
        <w:t>Living expenses.</w:t>
      </w:r>
    </w:p>
    <w:p w:rsidR="00AD20F0" w:rsidRDefault="0055097E">
      <w:pPr>
        <w:numPr>
          <w:ilvl w:val="0"/>
          <w:numId w:val="1"/>
        </w:numPr>
        <w:pBdr>
          <w:top w:val="nil"/>
          <w:left w:val="nil"/>
          <w:bottom w:val="nil"/>
          <w:right w:val="nil"/>
          <w:between w:val="nil"/>
        </w:pBdr>
        <w:contextualSpacing/>
      </w:pPr>
      <w:r>
        <w:rPr>
          <w:color w:val="000000"/>
        </w:rPr>
        <w:t xml:space="preserve">Salaries for student workers during May through August (please use the </w:t>
      </w:r>
      <w:r>
        <w:t>Research Assistantship Program through Career and Leadership Development</w:t>
      </w:r>
      <w:r>
        <w:rPr>
          <w:color w:val="000000"/>
        </w:rPr>
        <w:t>).</w:t>
      </w:r>
    </w:p>
    <w:p w:rsidR="00AD20F0" w:rsidRDefault="0055097E">
      <w:pPr>
        <w:numPr>
          <w:ilvl w:val="0"/>
          <w:numId w:val="1"/>
        </w:numPr>
        <w:pBdr>
          <w:top w:val="nil"/>
          <w:left w:val="nil"/>
          <w:bottom w:val="nil"/>
          <w:right w:val="nil"/>
          <w:between w:val="nil"/>
        </w:pBdr>
        <w:contextualSpacing/>
      </w:pPr>
      <w:r>
        <w:rPr>
          <w:color w:val="000000"/>
        </w:rPr>
        <w:t>Tuition costs to support work for a graduate degree.</w:t>
      </w:r>
    </w:p>
    <w:p w:rsidR="00AD20F0" w:rsidRDefault="0055097E">
      <w:pPr>
        <w:numPr>
          <w:ilvl w:val="0"/>
          <w:numId w:val="1"/>
        </w:numPr>
        <w:pBdr>
          <w:top w:val="nil"/>
          <w:left w:val="nil"/>
          <w:bottom w:val="nil"/>
          <w:right w:val="nil"/>
          <w:between w:val="nil"/>
        </w:pBdr>
        <w:contextualSpacing/>
      </w:pPr>
      <w:r>
        <w:rPr>
          <w:color w:val="000000"/>
        </w:rPr>
        <w:t>Capital purchases of equipment.</w:t>
      </w:r>
    </w:p>
    <w:p w:rsidR="00AD20F0" w:rsidRDefault="0055097E">
      <w:pPr>
        <w:numPr>
          <w:ilvl w:val="0"/>
          <w:numId w:val="1"/>
        </w:numPr>
        <w:pBdr>
          <w:top w:val="nil"/>
          <w:left w:val="nil"/>
          <w:bottom w:val="nil"/>
          <w:right w:val="nil"/>
          <w:between w:val="nil"/>
        </w:pBdr>
        <w:contextualSpacing/>
      </w:pPr>
      <w:r>
        <w:rPr>
          <w:color w:val="000000"/>
        </w:rPr>
        <w:t>Conference travel.</w:t>
      </w:r>
    </w:p>
    <w:p w:rsidR="00AD20F0" w:rsidRDefault="0055097E">
      <w:pPr>
        <w:numPr>
          <w:ilvl w:val="0"/>
          <w:numId w:val="1"/>
        </w:numPr>
        <w:pBdr>
          <w:top w:val="nil"/>
          <w:left w:val="nil"/>
          <w:bottom w:val="nil"/>
          <w:right w:val="nil"/>
          <w:between w:val="nil"/>
        </w:pBdr>
        <w:contextualSpacing/>
      </w:pPr>
      <w:r>
        <w:rPr>
          <w:color w:val="000000"/>
        </w:rPr>
        <w:t>Faculty compensation.</w:t>
      </w:r>
    </w:p>
    <w:p w:rsidR="00AD20F0" w:rsidRDefault="0055097E">
      <w:pPr>
        <w:numPr>
          <w:ilvl w:val="0"/>
          <w:numId w:val="1"/>
        </w:numPr>
        <w:pBdr>
          <w:top w:val="nil"/>
          <w:left w:val="nil"/>
          <w:bottom w:val="nil"/>
          <w:right w:val="nil"/>
          <w:between w:val="nil"/>
        </w:pBdr>
        <w:contextualSpacing/>
      </w:pPr>
      <w:r>
        <w:rPr>
          <w:color w:val="000000"/>
        </w:rPr>
        <w:t>Research conducted outside of the SHI study watershed (see map on website).</w:t>
      </w:r>
    </w:p>
    <w:p w:rsidR="00AD20F0" w:rsidRDefault="0055097E">
      <w:pPr>
        <w:numPr>
          <w:ilvl w:val="0"/>
          <w:numId w:val="1"/>
        </w:numPr>
        <w:pBdr>
          <w:top w:val="nil"/>
          <w:left w:val="nil"/>
          <w:bottom w:val="nil"/>
          <w:right w:val="nil"/>
          <w:between w:val="nil"/>
        </w:pBdr>
        <w:contextualSpacing/>
      </w:pPr>
      <w:bookmarkStart w:id="1" w:name="_gjdgxs" w:colFirst="0" w:colLast="0"/>
      <w:bookmarkEnd w:id="1"/>
      <w:r>
        <w:rPr>
          <w:color w:val="000000"/>
        </w:rPr>
        <w:t>Research on the Domain without filing a request (</w:t>
      </w:r>
      <w:hyperlink r:id="rId6">
        <w:r>
          <w:rPr>
            <w:color w:val="0563C1"/>
            <w:u w:val="single"/>
          </w:rPr>
          <w:t>http://sustain.sewanee.edu/domain/research</w:t>
        </w:r>
      </w:hyperlink>
      <w:r>
        <w:rPr>
          <w:color w:val="000000"/>
        </w:rPr>
        <w:t>)</w:t>
      </w:r>
    </w:p>
    <w:sectPr w:rsidR="00AD20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E4521"/>
    <w:multiLevelType w:val="multilevel"/>
    <w:tmpl w:val="AADE879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F0"/>
    <w:rsid w:val="0055097E"/>
    <w:rsid w:val="00AD20F0"/>
    <w:rsid w:val="00E6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9E1E4-BFB5-48E5-A8AD-D507279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tain.sewanee.edu/domain/research" TargetMode="External"/><Relationship Id="rId5" Type="http://schemas.openxmlformats.org/officeDocument/2006/relationships/hyperlink" Target="https://www.gsa.gov/portal/content/1015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South</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Environmental</dc:creator>
  <cp:lastModifiedBy>Environmental</cp:lastModifiedBy>
  <cp:revision>2</cp:revision>
  <dcterms:created xsi:type="dcterms:W3CDTF">2020-06-26T19:53:00Z</dcterms:created>
  <dcterms:modified xsi:type="dcterms:W3CDTF">2020-06-26T19:53:00Z</dcterms:modified>
</cp:coreProperties>
</file>