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342BA1" w14:textId="5A6077F7" w:rsidR="008D20E0" w:rsidRPr="008D20E0" w:rsidRDefault="008D20E0" w:rsidP="008D20E0">
      <w:pPr>
        <w:jc w:val="center"/>
        <w:rPr>
          <w:rFonts w:ascii="Garamond" w:hAnsi="Garamond"/>
        </w:rPr>
      </w:pPr>
      <w:r>
        <w:rPr>
          <w:rFonts w:ascii="Garamond" w:eastAsia="Times New Roman" w:hAnsi="Garamond" w:cs="Times New Roman"/>
          <w:noProof/>
          <w:color w:val="1E1E1E"/>
          <w:sz w:val="48"/>
          <w:szCs w:val="48"/>
        </w:rPr>
        <w:drawing>
          <wp:anchor distT="0" distB="0" distL="114300" distR="114300" simplePos="0" relativeHeight="251661312" behindDoc="1" locked="0" layoutInCell="1" allowOverlap="1" wp14:anchorId="34F9FAB4" wp14:editId="1D6E9033">
            <wp:simplePos x="0" y="0"/>
            <wp:positionH relativeFrom="column">
              <wp:posOffset>-256540</wp:posOffset>
            </wp:positionH>
            <wp:positionV relativeFrom="paragraph">
              <wp:posOffset>156210</wp:posOffset>
            </wp:positionV>
            <wp:extent cx="2776220" cy="1588770"/>
            <wp:effectExtent l="152400" t="152400" r="347980" b="341630"/>
            <wp:wrapTight wrapText="bothSides">
              <wp:wrapPolygon edited="0">
                <wp:start x="1482" y="-2072"/>
                <wp:lineTo x="-889" y="-1727"/>
                <wp:lineTo x="-1186" y="3799"/>
                <wp:lineTo x="-1186" y="20374"/>
                <wp:lineTo x="-889" y="23309"/>
                <wp:lineTo x="988" y="25727"/>
                <wp:lineTo x="1087" y="26072"/>
                <wp:lineTo x="22035" y="26072"/>
                <wp:lineTo x="22134" y="25727"/>
                <wp:lineTo x="24011" y="23309"/>
                <wp:lineTo x="24209" y="20374"/>
                <wp:lineTo x="24110" y="173"/>
                <wp:lineTo x="22331" y="-1727"/>
                <wp:lineTo x="21541" y="-2072"/>
                <wp:lineTo x="1482" y="-2072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alphaModFix amt="8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220" cy="1588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20E0">
        <w:rPr>
          <w:rFonts w:ascii="Garamond" w:eastAsia="Times New Roman" w:hAnsi="Garamond" w:cs="Times New Roman"/>
          <w:b/>
          <w:bCs/>
          <w:color w:val="1E1E1E"/>
          <w:sz w:val="56"/>
          <w:szCs w:val="56"/>
          <w:bdr w:val="none" w:sz="0" w:space="0" w:color="auto" w:frame="1"/>
        </w:rPr>
        <w:t>Lines, Flows, and Forms</w:t>
      </w:r>
    </w:p>
    <w:p w14:paraId="42C0CF8D" w14:textId="77777777" w:rsidR="008D20E0" w:rsidRDefault="008D20E0" w:rsidP="00124552">
      <w:pPr>
        <w:jc w:val="center"/>
        <w:rPr>
          <w:rFonts w:ascii="Garamond" w:eastAsia="Times New Roman" w:hAnsi="Garamond" w:cs="Times New Roman"/>
          <w:b/>
          <w:bCs/>
          <w:i/>
          <w:iCs/>
          <w:color w:val="1E1E1E"/>
          <w:sz w:val="32"/>
          <w:szCs w:val="32"/>
          <w:bdr w:val="none" w:sz="0" w:space="0" w:color="auto" w:frame="1"/>
        </w:rPr>
      </w:pPr>
    </w:p>
    <w:p w14:paraId="3BE486DE" w14:textId="527A8EB0" w:rsidR="00B06225" w:rsidRPr="00124552" w:rsidRDefault="00B06225" w:rsidP="00124552">
      <w:pPr>
        <w:jc w:val="center"/>
        <w:rPr>
          <w:rFonts w:ascii="Garamond" w:hAnsi="Garamond"/>
        </w:rPr>
      </w:pPr>
      <w:r w:rsidRPr="00B06225">
        <w:rPr>
          <w:rFonts w:ascii="Garamond" w:eastAsia="Times New Roman" w:hAnsi="Garamond" w:cs="Times New Roman"/>
          <w:b/>
          <w:bCs/>
          <w:i/>
          <w:iCs/>
          <w:color w:val="1E1E1E"/>
          <w:sz w:val="32"/>
          <w:szCs w:val="32"/>
          <w:bdr w:val="none" w:sz="0" w:space="0" w:color="auto" w:frame="1"/>
        </w:rPr>
        <w:t>The Forty-</w:t>
      </w:r>
      <w:r w:rsidR="00124552">
        <w:rPr>
          <w:rFonts w:ascii="Garamond" w:eastAsia="Times New Roman" w:hAnsi="Garamond" w:cs="Times New Roman"/>
          <w:b/>
          <w:bCs/>
          <w:i/>
          <w:iCs/>
          <w:color w:val="1E1E1E"/>
          <w:sz w:val="32"/>
          <w:szCs w:val="32"/>
          <w:bdr w:val="none" w:sz="0" w:space="0" w:color="auto" w:frame="1"/>
        </w:rPr>
        <w:t>Eighth</w:t>
      </w:r>
      <w:r w:rsidRPr="00B06225">
        <w:rPr>
          <w:rFonts w:ascii="Garamond" w:eastAsia="Times New Roman" w:hAnsi="Garamond" w:cs="Times New Roman"/>
          <w:b/>
          <w:bCs/>
          <w:i/>
          <w:iCs/>
          <w:color w:val="1E1E1E"/>
          <w:sz w:val="32"/>
          <w:szCs w:val="32"/>
          <w:bdr w:val="none" w:sz="0" w:space="0" w:color="auto" w:frame="1"/>
        </w:rPr>
        <w:t xml:space="preserve"> Annual Sewanee Medieval Colloquium</w:t>
      </w:r>
    </w:p>
    <w:p w14:paraId="4916C49F" w14:textId="08A6B627" w:rsidR="00B06225" w:rsidRPr="00B06225" w:rsidRDefault="00124552" w:rsidP="00124552">
      <w:pPr>
        <w:shd w:val="clear" w:color="auto" w:fill="FFFFFF"/>
        <w:jc w:val="center"/>
        <w:textAlignment w:val="baseline"/>
        <w:rPr>
          <w:rFonts w:ascii="Garamond" w:eastAsia="Times New Roman" w:hAnsi="Garamond" w:cs="Times New Roman"/>
          <w:i/>
          <w:iCs/>
          <w:color w:val="1E1E1E"/>
        </w:rPr>
      </w:pPr>
      <w:r>
        <w:rPr>
          <w:rFonts w:ascii="Garamond" w:eastAsia="Times New Roman" w:hAnsi="Garamond" w:cs="Times New Roman"/>
          <w:b/>
          <w:bCs/>
          <w:i/>
          <w:iCs/>
          <w:color w:val="1E1E1E"/>
          <w:bdr w:val="none" w:sz="0" w:space="0" w:color="auto" w:frame="1"/>
        </w:rPr>
        <w:t>March 24-25, 2023</w:t>
      </w:r>
    </w:p>
    <w:p w14:paraId="0981D6AA" w14:textId="2C85A558" w:rsidR="00B06225" w:rsidRDefault="00B06225" w:rsidP="00124552">
      <w:pPr>
        <w:shd w:val="clear" w:color="auto" w:fill="FFFFFF"/>
        <w:jc w:val="center"/>
        <w:textAlignment w:val="baseline"/>
        <w:rPr>
          <w:rFonts w:ascii="Garamond" w:eastAsia="Times New Roman" w:hAnsi="Garamond" w:cs="Times New Roman"/>
          <w:b/>
          <w:bCs/>
          <w:i/>
          <w:iCs/>
          <w:color w:val="1E1E1E"/>
          <w:bdr w:val="none" w:sz="0" w:space="0" w:color="auto" w:frame="1"/>
        </w:rPr>
      </w:pPr>
      <w:r w:rsidRPr="00B06225">
        <w:rPr>
          <w:rFonts w:ascii="Garamond" w:eastAsia="Times New Roman" w:hAnsi="Garamond" w:cs="Times New Roman"/>
          <w:b/>
          <w:bCs/>
          <w:i/>
          <w:iCs/>
          <w:color w:val="1E1E1E"/>
          <w:bdr w:val="none" w:sz="0" w:space="0" w:color="auto" w:frame="1"/>
        </w:rPr>
        <w:t>The University of the South, Sewanee, TN</w:t>
      </w:r>
    </w:p>
    <w:p w14:paraId="3C329671" w14:textId="6C8F449C" w:rsidR="00124552" w:rsidRPr="00B06225" w:rsidRDefault="00124552" w:rsidP="008D20E0">
      <w:pPr>
        <w:shd w:val="clear" w:color="auto" w:fill="FFFFFF"/>
        <w:textAlignment w:val="baseline"/>
        <w:rPr>
          <w:rFonts w:ascii="Garamond" w:eastAsia="Times New Roman" w:hAnsi="Garamond" w:cs="Times New Roman"/>
          <w:i/>
          <w:iCs/>
          <w:color w:val="1E1E1E"/>
        </w:rPr>
      </w:pPr>
    </w:p>
    <w:p w14:paraId="5514F57F" w14:textId="509B0221" w:rsidR="00B06225" w:rsidRPr="00B06225" w:rsidRDefault="00B06225" w:rsidP="00B06225">
      <w:pPr>
        <w:shd w:val="clear" w:color="auto" w:fill="FFFFFF"/>
        <w:textAlignment w:val="baseline"/>
        <w:rPr>
          <w:rFonts w:ascii="Garamond" w:eastAsia="Times New Roman" w:hAnsi="Garamond" w:cs="Times New Roman"/>
          <w:i/>
          <w:iCs/>
          <w:color w:val="1E1E1E"/>
          <w:sz w:val="21"/>
          <w:szCs w:val="21"/>
        </w:rPr>
      </w:pPr>
      <w:r w:rsidRPr="00B06225">
        <w:rPr>
          <w:rFonts w:ascii="Monaco" w:eastAsia="Times New Roman" w:hAnsi="Monaco" w:cs="Monaco"/>
          <w:i/>
          <w:iCs/>
          <w:color w:val="1E1E1E"/>
          <w:sz w:val="17"/>
          <w:szCs w:val="17"/>
          <w:bdr w:val="none" w:sz="0" w:space="0" w:color="auto" w:frame="1"/>
        </w:rPr>
        <w:t>‌</w:t>
      </w:r>
    </w:p>
    <w:p w14:paraId="201AFCC1" w14:textId="3DDDE01D" w:rsidR="00B06225" w:rsidRPr="00B06225" w:rsidRDefault="00B06225" w:rsidP="008D20E0">
      <w:pPr>
        <w:shd w:val="clear" w:color="auto" w:fill="FFFFFF"/>
        <w:spacing w:after="150" w:line="600" w:lineRule="atLeast"/>
        <w:jc w:val="center"/>
        <w:textAlignment w:val="baseline"/>
        <w:outlineLvl w:val="1"/>
        <w:rPr>
          <w:rFonts w:ascii="Garamond" w:eastAsia="Times New Roman" w:hAnsi="Garamond" w:cs="Times New Roman"/>
          <w:color w:val="1E1E1E"/>
          <w:sz w:val="48"/>
          <w:szCs w:val="48"/>
        </w:rPr>
      </w:pPr>
      <w:r w:rsidRPr="00B06225">
        <w:rPr>
          <w:rFonts w:ascii="Garamond" w:eastAsia="Times New Roman" w:hAnsi="Garamond" w:cs="Times New Roman"/>
          <w:color w:val="1E1E1E"/>
          <w:sz w:val="48"/>
          <w:szCs w:val="48"/>
        </w:rPr>
        <w:t>Call for Papers:</w:t>
      </w:r>
    </w:p>
    <w:p w14:paraId="465F3601" w14:textId="50BD730E" w:rsidR="00B06225" w:rsidRDefault="00B06225" w:rsidP="005564CF">
      <w:pPr>
        <w:shd w:val="clear" w:color="auto" w:fill="FFFFFF"/>
        <w:spacing w:after="300"/>
        <w:jc w:val="both"/>
        <w:textAlignment w:val="baseline"/>
        <w:rPr>
          <w:rFonts w:ascii="Garamond" w:hAnsi="Garamond" w:cs="Times New Roman"/>
          <w:color w:val="1E1E1E"/>
        </w:rPr>
      </w:pPr>
      <w:r w:rsidRPr="00B06225">
        <w:rPr>
          <w:rFonts w:ascii="Garamond" w:hAnsi="Garamond" w:cs="Times New Roman"/>
          <w:color w:val="1E1E1E"/>
        </w:rPr>
        <w:t xml:space="preserve">The Sewanee Medieval Colloquium invites papers exploring aspects of </w:t>
      </w:r>
      <w:r w:rsidR="00467062" w:rsidRPr="005C3768">
        <w:rPr>
          <w:rFonts w:ascii="Garamond" w:hAnsi="Garamond" w:cs="Times New Roman"/>
          <w:i/>
          <w:iCs/>
          <w:color w:val="1E1E1E"/>
        </w:rPr>
        <w:t>lines, flows, and forms</w:t>
      </w:r>
      <w:r w:rsidRPr="00B06225">
        <w:rPr>
          <w:rFonts w:ascii="Garamond" w:hAnsi="Garamond" w:cs="Times New Roman"/>
          <w:color w:val="1E1E1E"/>
        </w:rPr>
        <w:t xml:space="preserve"> in all aspects of medieval culture. </w:t>
      </w:r>
      <w:r w:rsidR="00305474">
        <w:rPr>
          <w:rFonts w:ascii="Garamond" w:hAnsi="Garamond" w:cs="Times New Roman"/>
          <w:color w:val="1E1E1E"/>
        </w:rPr>
        <w:t>We envision this theme to be capacious in its scope, and we imagine papers that might look at a range of topics</w:t>
      </w:r>
      <w:r w:rsidR="00ED5A3B">
        <w:rPr>
          <w:rFonts w:ascii="Garamond" w:hAnsi="Garamond" w:cs="Times New Roman"/>
          <w:color w:val="1E1E1E"/>
        </w:rPr>
        <w:t>. Approaches might include:</w:t>
      </w:r>
    </w:p>
    <w:p w14:paraId="7EAD5778" w14:textId="77777777" w:rsidR="006A40F6" w:rsidRDefault="006A40F6" w:rsidP="00ED5A3B">
      <w:pPr>
        <w:pStyle w:val="ListParagraph"/>
        <w:numPr>
          <w:ilvl w:val="0"/>
          <w:numId w:val="1"/>
        </w:numPr>
        <w:shd w:val="clear" w:color="auto" w:fill="FFFFFF"/>
        <w:spacing w:after="300"/>
        <w:textAlignment w:val="baseline"/>
        <w:rPr>
          <w:rFonts w:ascii="Garamond" w:hAnsi="Garamond" w:cs="Times New Roman"/>
          <w:color w:val="1E1E1E"/>
        </w:rPr>
        <w:sectPr w:rsidR="006A40F6" w:rsidSect="00B06225">
          <w:pgSz w:w="12240" w:h="15840"/>
          <w:pgMar w:top="1296" w:right="1440" w:bottom="1296" w:left="1440" w:header="720" w:footer="720" w:gutter="0"/>
          <w:cols w:space="720"/>
          <w:docGrid w:linePitch="360"/>
        </w:sectPr>
      </w:pPr>
    </w:p>
    <w:p w14:paraId="48CA4CEE" w14:textId="15DAFA5D" w:rsidR="00BC5DE0" w:rsidRDefault="00BC5DE0" w:rsidP="00ED5A3B">
      <w:pPr>
        <w:pStyle w:val="ListParagraph"/>
        <w:numPr>
          <w:ilvl w:val="0"/>
          <w:numId w:val="1"/>
        </w:numPr>
        <w:shd w:val="clear" w:color="auto" w:fill="FFFFFF"/>
        <w:spacing w:after="300"/>
        <w:textAlignment w:val="baseline"/>
        <w:rPr>
          <w:rFonts w:ascii="Garamond" w:hAnsi="Garamond" w:cs="Times New Roman"/>
          <w:color w:val="1E1E1E"/>
        </w:rPr>
      </w:pPr>
      <w:r>
        <w:rPr>
          <w:rFonts w:ascii="Garamond" w:hAnsi="Garamond" w:cs="Times New Roman"/>
          <w:color w:val="1E1E1E"/>
        </w:rPr>
        <w:t>the harmonic and the dissonant</w:t>
      </w:r>
      <w:r w:rsidR="00443CBF">
        <w:rPr>
          <w:rFonts w:ascii="Garamond" w:hAnsi="Garamond" w:cs="Times New Roman"/>
          <w:color w:val="1E1E1E"/>
        </w:rPr>
        <w:t xml:space="preserve"> line</w:t>
      </w:r>
      <w:r>
        <w:rPr>
          <w:rFonts w:ascii="Garamond" w:hAnsi="Garamond" w:cs="Times New Roman"/>
          <w:color w:val="1E1E1E"/>
        </w:rPr>
        <w:t xml:space="preserve"> in the Middle Ages</w:t>
      </w:r>
    </w:p>
    <w:p w14:paraId="3CF8B56C" w14:textId="67EC0949" w:rsidR="00BC5DE0" w:rsidRDefault="003B2E76" w:rsidP="00ED5A3B">
      <w:pPr>
        <w:pStyle w:val="ListParagraph"/>
        <w:numPr>
          <w:ilvl w:val="0"/>
          <w:numId w:val="1"/>
        </w:numPr>
        <w:shd w:val="clear" w:color="auto" w:fill="FFFFFF"/>
        <w:spacing w:after="300"/>
        <w:textAlignment w:val="baseline"/>
        <w:rPr>
          <w:rFonts w:ascii="Garamond" w:hAnsi="Garamond" w:cs="Times New Roman"/>
          <w:color w:val="1E1E1E"/>
        </w:rPr>
      </w:pPr>
      <w:r>
        <w:rPr>
          <w:rFonts w:ascii="Garamond" w:hAnsi="Garamond" w:cs="Times New Roman"/>
          <w:color w:val="1E1E1E"/>
        </w:rPr>
        <w:t>medieval futurity</w:t>
      </w:r>
    </w:p>
    <w:p w14:paraId="1B1255B1" w14:textId="7307C6B6" w:rsidR="00443CBF" w:rsidRDefault="00443CBF" w:rsidP="00ED5A3B">
      <w:pPr>
        <w:pStyle w:val="ListParagraph"/>
        <w:numPr>
          <w:ilvl w:val="0"/>
          <w:numId w:val="1"/>
        </w:numPr>
        <w:shd w:val="clear" w:color="auto" w:fill="FFFFFF"/>
        <w:spacing w:after="300"/>
        <w:textAlignment w:val="baseline"/>
        <w:rPr>
          <w:rFonts w:ascii="Garamond" w:hAnsi="Garamond" w:cs="Times New Roman"/>
          <w:color w:val="1E1E1E"/>
        </w:rPr>
      </w:pPr>
      <w:r>
        <w:rPr>
          <w:rFonts w:ascii="Garamond" w:hAnsi="Garamond" w:cs="Times New Roman"/>
          <w:color w:val="1E1E1E"/>
        </w:rPr>
        <w:t>queer and straight lines (broadly imagined)</w:t>
      </w:r>
    </w:p>
    <w:p w14:paraId="5F74FB1B" w14:textId="76D14169" w:rsidR="00BC5DE0" w:rsidRDefault="00BC5DE0" w:rsidP="00ED5A3B">
      <w:pPr>
        <w:pStyle w:val="ListParagraph"/>
        <w:numPr>
          <w:ilvl w:val="0"/>
          <w:numId w:val="1"/>
        </w:numPr>
        <w:shd w:val="clear" w:color="auto" w:fill="FFFFFF"/>
        <w:spacing w:after="300"/>
        <w:textAlignment w:val="baseline"/>
        <w:rPr>
          <w:rFonts w:ascii="Garamond" w:hAnsi="Garamond" w:cs="Times New Roman"/>
          <w:color w:val="1E1E1E"/>
        </w:rPr>
      </w:pPr>
      <w:r>
        <w:rPr>
          <w:rFonts w:ascii="Garamond" w:hAnsi="Garamond" w:cs="Times New Roman"/>
          <w:color w:val="1E1E1E"/>
        </w:rPr>
        <w:t>through-lines and genealogies</w:t>
      </w:r>
    </w:p>
    <w:p w14:paraId="11D6352A" w14:textId="7D1FDF5A" w:rsidR="00BC5DE0" w:rsidRDefault="00BC5DE0" w:rsidP="00ED5A3B">
      <w:pPr>
        <w:pStyle w:val="ListParagraph"/>
        <w:numPr>
          <w:ilvl w:val="0"/>
          <w:numId w:val="1"/>
        </w:numPr>
        <w:shd w:val="clear" w:color="auto" w:fill="FFFFFF"/>
        <w:spacing w:after="300"/>
        <w:textAlignment w:val="baseline"/>
        <w:rPr>
          <w:rFonts w:ascii="Garamond" w:hAnsi="Garamond" w:cs="Times New Roman"/>
          <w:color w:val="1E1E1E"/>
        </w:rPr>
      </w:pPr>
      <w:r>
        <w:rPr>
          <w:rFonts w:ascii="Garamond" w:hAnsi="Garamond" w:cs="Times New Roman"/>
          <w:color w:val="1E1E1E"/>
        </w:rPr>
        <w:t>flows and medieval ecology</w:t>
      </w:r>
    </w:p>
    <w:p w14:paraId="4912023E" w14:textId="2E2C7561" w:rsidR="00BC5DE0" w:rsidRDefault="00BC5DE0" w:rsidP="00ED5A3B">
      <w:pPr>
        <w:pStyle w:val="ListParagraph"/>
        <w:numPr>
          <w:ilvl w:val="0"/>
          <w:numId w:val="1"/>
        </w:numPr>
        <w:shd w:val="clear" w:color="auto" w:fill="FFFFFF"/>
        <w:spacing w:after="300"/>
        <w:textAlignment w:val="baseline"/>
        <w:rPr>
          <w:rFonts w:ascii="Garamond" w:hAnsi="Garamond" w:cs="Times New Roman"/>
          <w:color w:val="1E1E1E"/>
        </w:rPr>
      </w:pPr>
      <w:r>
        <w:rPr>
          <w:rFonts w:ascii="Garamond" w:hAnsi="Garamond" w:cs="Times New Roman"/>
          <w:color w:val="1E1E1E"/>
        </w:rPr>
        <w:t>potential afterlives of medieval forms</w:t>
      </w:r>
    </w:p>
    <w:p w14:paraId="6E1DFB13" w14:textId="5DBE1F33" w:rsidR="00BC5DE0" w:rsidRDefault="00BC5DE0" w:rsidP="00ED5A3B">
      <w:pPr>
        <w:pStyle w:val="ListParagraph"/>
        <w:numPr>
          <w:ilvl w:val="0"/>
          <w:numId w:val="1"/>
        </w:numPr>
        <w:shd w:val="clear" w:color="auto" w:fill="FFFFFF"/>
        <w:spacing w:after="300"/>
        <w:textAlignment w:val="baseline"/>
        <w:rPr>
          <w:rFonts w:ascii="Garamond" w:hAnsi="Garamond" w:cs="Times New Roman"/>
          <w:color w:val="1E1E1E"/>
        </w:rPr>
      </w:pPr>
      <w:r>
        <w:rPr>
          <w:rFonts w:ascii="Garamond" w:hAnsi="Garamond" w:cs="Times New Roman"/>
          <w:color w:val="1E1E1E"/>
        </w:rPr>
        <w:t>refrain and repetition</w:t>
      </w:r>
    </w:p>
    <w:p w14:paraId="15B9AFA1" w14:textId="65F04A4B" w:rsidR="00BC5DE0" w:rsidRDefault="00BC5DE0" w:rsidP="00ED5A3B">
      <w:pPr>
        <w:pStyle w:val="ListParagraph"/>
        <w:numPr>
          <w:ilvl w:val="0"/>
          <w:numId w:val="1"/>
        </w:numPr>
        <w:shd w:val="clear" w:color="auto" w:fill="FFFFFF"/>
        <w:spacing w:after="300"/>
        <w:textAlignment w:val="baseline"/>
        <w:rPr>
          <w:rFonts w:ascii="Garamond" w:hAnsi="Garamond" w:cs="Times New Roman"/>
          <w:color w:val="1E1E1E"/>
        </w:rPr>
      </w:pPr>
      <w:r>
        <w:rPr>
          <w:rFonts w:ascii="Garamond" w:hAnsi="Garamond" w:cs="Times New Roman"/>
          <w:color w:val="1E1E1E"/>
        </w:rPr>
        <w:t>the politics of perspective</w:t>
      </w:r>
    </w:p>
    <w:p w14:paraId="4E5F07EC" w14:textId="55000369" w:rsidR="00BC5DE0" w:rsidRDefault="00BC5DE0" w:rsidP="00ED5A3B">
      <w:pPr>
        <w:pStyle w:val="ListParagraph"/>
        <w:numPr>
          <w:ilvl w:val="0"/>
          <w:numId w:val="1"/>
        </w:numPr>
        <w:shd w:val="clear" w:color="auto" w:fill="FFFFFF"/>
        <w:spacing w:after="300"/>
        <w:textAlignment w:val="baseline"/>
        <w:rPr>
          <w:rFonts w:ascii="Garamond" w:hAnsi="Garamond" w:cs="Times New Roman"/>
          <w:color w:val="1E1E1E"/>
        </w:rPr>
      </w:pPr>
      <w:r>
        <w:rPr>
          <w:rFonts w:ascii="Garamond" w:hAnsi="Garamond" w:cs="Times New Roman"/>
          <w:color w:val="1E1E1E"/>
        </w:rPr>
        <w:t xml:space="preserve">the ethics of historiography </w:t>
      </w:r>
    </w:p>
    <w:p w14:paraId="026E6DD3" w14:textId="056DD7D3" w:rsidR="00BC5DE0" w:rsidRDefault="00BC5DE0" w:rsidP="00ED5A3B">
      <w:pPr>
        <w:pStyle w:val="ListParagraph"/>
        <w:numPr>
          <w:ilvl w:val="0"/>
          <w:numId w:val="1"/>
        </w:numPr>
        <w:shd w:val="clear" w:color="auto" w:fill="FFFFFF"/>
        <w:spacing w:after="300"/>
        <w:textAlignment w:val="baseline"/>
        <w:rPr>
          <w:rFonts w:ascii="Garamond" w:hAnsi="Garamond" w:cs="Times New Roman"/>
          <w:color w:val="1E1E1E"/>
        </w:rPr>
      </w:pPr>
      <w:r>
        <w:rPr>
          <w:rFonts w:ascii="Garamond" w:hAnsi="Garamond" w:cs="Times New Roman"/>
          <w:color w:val="1E1E1E"/>
        </w:rPr>
        <w:t xml:space="preserve">chronicles and timelines </w:t>
      </w:r>
    </w:p>
    <w:p w14:paraId="61FD687B" w14:textId="5B9D393C" w:rsidR="003B2E76" w:rsidRDefault="003B2E76" w:rsidP="00ED5A3B">
      <w:pPr>
        <w:pStyle w:val="ListParagraph"/>
        <w:numPr>
          <w:ilvl w:val="0"/>
          <w:numId w:val="1"/>
        </w:numPr>
        <w:shd w:val="clear" w:color="auto" w:fill="FFFFFF"/>
        <w:spacing w:after="300"/>
        <w:textAlignment w:val="baseline"/>
        <w:rPr>
          <w:rFonts w:ascii="Garamond" w:hAnsi="Garamond" w:cs="Times New Roman"/>
          <w:color w:val="1E1E1E"/>
        </w:rPr>
      </w:pPr>
      <w:r>
        <w:rPr>
          <w:rFonts w:ascii="Garamond" w:hAnsi="Garamond" w:cs="Times New Roman"/>
          <w:color w:val="1E1E1E"/>
        </w:rPr>
        <w:t>population flows and migration</w:t>
      </w:r>
    </w:p>
    <w:p w14:paraId="39A9A80F" w14:textId="4F8250EC" w:rsidR="003B2E76" w:rsidRDefault="003B2E76" w:rsidP="00ED5A3B">
      <w:pPr>
        <w:pStyle w:val="ListParagraph"/>
        <w:numPr>
          <w:ilvl w:val="0"/>
          <w:numId w:val="1"/>
        </w:numPr>
        <w:shd w:val="clear" w:color="auto" w:fill="FFFFFF"/>
        <w:spacing w:after="300"/>
        <w:textAlignment w:val="baseline"/>
        <w:rPr>
          <w:rFonts w:ascii="Garamond" w:hAnsi="Garamond" w:cs="Times New Roman"/>
          <w:color w:val="1E1E1E"/>
        </w:rPr>
      </w:pPr>
      <w:r>
        <w:rPr>
          <w:rFonts w:ascii="Garamond" w:hAnsi="Garamond" w:cs="Times New Roman"/>
          <w:color w:val="1E1E1E"/>
        </w:rPr>
        <w:t>forms of law in the Middle Ages</w:t>
      </w:r>
    </w:p>
    <w:p w14:paraId="6982177A" w14:textId="12E64C04" w:rsidR="00BC5DE0" w:rsidRDefault="00443CBF" w:rsidP="00ED5A3B">
      <w:pPr>
        <w:pStyle w:val="ListParagraph"/>
        <w:numPr>
          <w:ilvl w:val="0"/>
          <w:numId w:val="1"/>
        </w:numPr>
        <w:shd w:val="clear" w:color="auto" w:fill="FFFFFF"/>
        <w:spacing w:after="300"/>
        <w:textAlignment w:val="baseline"/>
        <w:rPr>
          <w:rFonts w:ascii="Garamond" w:hAnsi="Garamond" w:cs="Times New Roman"/>
          <w:color w:val="1E1E1E"/>
        </w:rPr>
      </w:pPr>
      <w:r>
        <w:rPr>
          <w:rFonts w:ascii="Garamond" w:hAnsi="Garamond" w:cs="Times New Roman"/>
          <w:color w:val="1E1E1E"/>
        </w:rPr>
        <w:t>medieval forms of life</w:t>
      </w:r>
    </w:p>
    <w:p w14:paraId="71ABFD47" w14:textId="6CCC9572" w:rsidR="00443CBF" w:rsidRDefault="00443CBF" w:rsidP="00ED5A3B">
      <w:pPr>
        <w:pStyle w:val="ListParagraph"/>
        <w:numPr>
          <w:ilvl w:val="0"/>
          <w:numId w:val="1"/>
        </w:numPr>
        <w:shd w:val="clear" w:color="auto" w:fill="FFFFFF"/>
        <w:spacing w:after="300"/>
        <w:textAlignment w:val="baseline"/>
        <w:rPr>
          <w:rFonts w:ascii="Garamond" w:hAnsi="Garamond" w:cs="Times New Roman"/>
          <w:color w:val="1E1E1E"/>
        </w:rPr>
      </w:pPr>
      <w:r>
        <w:rPr>
          <w:rFonts w:ascii="Garamond" w:hAnsi="Garamond" w:cs="Times New Roman"/>
          <w:color w:val="1E1E1E"/>
        </w:rPr>
        <w:t>scribal production and lines of script</w:t>
      </w:r>
    </w:p>
    <w:p w14:paraId="7F8E15A5" w14:textId="6EE7CA87" w:rsidR="00443CBF" w:rsidRDefault="00443CBF" w:rsidP="00ED5A3B">
      <w:pPr>
        <w:pStyle w:val="ListParagraph"/>
        <w:numPr>
          <w:ilvl w:val="0"/>
          <w:numId w:val="1"/>
        </w:numPr>
        <w:shd w:val="clear" w:color="auto" w:fill="FFFFFF"/>
        <w:spacing w:after="300"/>
        <w:textAlignment w:val="baseline"/>
        <w:rPr>
          <w:rFonts w:ascii="Garamond" w:hAnsi="Garamond" w:cs="Times New Roman"/>
          <w:color w:val="1E1E1E"/>
        </w:rPr>
      </w:pPr>
      <w:r>
        <w:rPr>
          <w:rFonts w:ascii="Garamond" w:hAnsi="Garamond" w:cs="Times New Roman"/>
          <w:color w:val="1E1E1E"/>
        </w:rPr>
        <w:t>manuscript networks and acts of transcription</w:t>
      </w:r>
    </w:p>
    <w:p w14:paraId="08510700" w14:textId="481FC198" w:rsidR="00443CBF" w:rsidRDefault="00443CBF" w:rsidP="00ED5A3B">
      <w:pPr>
        <w:pStyle w:val="ListParagraph"/>
        <w:numPr>
          <w:ilvl w:val="0"/>
          <w:numId w:val="1"/>
        </w:numPr>
        <w:shd w:val="clear" w:color="auto" w:fill="FFFFFF"/>
        <w:spacing w:after="300"/>
        <w:textAlignment w:val="baseline"/>
        <w:rPr>
          <w:rFonts w:ascii="Garamond" w:hAnsi="Garamond" w:cs="Times New Roman"/>
          <w:color w:val="1E1E1E"/>
        </w:rPr>
      </w:pPr>
      <w:r>
        <w:rPr>
          <w:rFonts w:ascii="Garamond" w:hAnsi="Garamond" w:cs="Times New Roman"/>
          <w:color w:val="1E1E1E"/>
        </w:rPr>
        <w:t>lines of transmission in translation and quotation</w:t>
      </w:r>
    </w:p>
    <w:p w14:paraId="7A02E1D2" w14:textId="37199D99" w:rsidR="00443CBF" w:rsidRDefault="00C96B54" w:rsidP="00ED5A3B">
      <w:pPr>
        <w:pStyle w:val="ListParagraph"/>
        <w:numPr>
          <w:ilvl w:val="0"/>
          <w:numId w:val="1"/>
        </w:numPr>
        <w:shd w:val="clear" w:color="auto" w:fill="FFFFFF"/>
        <w:spacing w:after="300"/>
        <w:textAlignment w:val="baseline"/>
        <w:rPr>
          <w:rFonts w:ascii="Garamond" w:hAnsi="Garamond" w:cs="Times New Roman"/>
          <w:color w:val="1E1E1E"/>
        </w:rPr>
      </w:pPr>
      <w:r>
        <w:rPr>
          <w:rFonts w:ascii="Garamond" w:hAnsi="Garamond" w:cs="Times New Roman"/>
          <w:color w:val="1E1E1E"/>
        </w:rPr>
        <w:t>medieval mapping and cartography</w:t>
      </w:r>
    </w:p>
    <w:p w14:paraId="171E39BC" w14:textId="652D36FE" w:rsidR="006A40F6" w:rsidRDefault="00443CBF" w:rsidP="006A40F6">
      <w:pPr>
        <w:pStyle w:val="ListParagraph"/>
        <w:numPr>
          <w:ilvl w:val="0"/>
          <w:numId w:val="1"/>
        </w:numPr>
        <w:shd w:val="clear" w:color="auto" w:fill="FFFFFF"/>
        <w:spacing w:after="300"/>
        <w:textAlignment w:val="baseline"/>
        <w:rPr>
          <w:rFonts w:ascii="Garamond" w:hAnsi="Garamond" w:cs="Times New Roman"/>
          <w:color w:val="1E1E1E"/>
        </w:rPr>
      </w:pPr>
      <w:r>
        <w:rPr>
          <w:rFonts w:ascii="Garamond" w:hAnsi="Garamond" w:cs="Times New Roman"/>
          <w:color w:val="1E1E1E"/>
        </w:rPr>
        <w:t>the diagram in medieval thought</w:t>
      </w:r>
    </w:p>
    <w:p w14:paraId="2D6EE608" w14:textId="69F5FDE1" w:rsidR="006A40F6" w:rsidRDefault="006A40F6" w:rsidP="006A40F6">
      <w:pPr>
        <w:pStyle w:val="ListParagraph"/>
        <w:numPr>
          <w:ilvl w:val="0"/>
          <w:numId w:val="1"/>
        </w:numPr>
        <w:shd w:val="clear" w:color="auto" w:fill="FFFFFF"/>
        <w:spacing w:after="300"/>
        <w:textAlignment w:val="baseline"/>
        <w:rPr>
          <w:rFonts w:ascii="Garamond" w:hAnsi="Garamond" w:cs="Times New Roman"/>
          <w:color w:val="1E1E1E"/>
        </w:rPr>
      </w:pPr>
      <w:r>
        <w:rPr>
          <w:rFonts w:ascii="Garamond" w:hAnsi="Garamond" w:cs="Times New Roman"/>
          <w:color w:val="1E1E1E"/>
        </w:rPr>
        <w:t>conceptions of the poetic line</w:t>
      </w:r>
    </w:p>
    <w:p w14:paraId="2BB15845" w14:textId="77777777" w:rsidR="006A40F6" w:rsidRDefault="006A40F6" w:rsidP="00B06225">
      <w:pPr>
        <w:pStyle w:val="ListParagraph"/>
        <w:numPr>
          <w:ilvl w:val="0"/>
          <w:numId w:val="1"/>
        </w:numPr>
        <w:shd w:val="clear" w:color="auto" w:fill="FFFFFF"/>
        <w:spacing w:after="300"/>
        <w:textAlignment w:val="baseline"/>
        <w:rPr>
          <w:rFonts w:ascii="Garamond" w:hAnsi="Garamond" w:cs="Times New Roman"/>
          <w:color w:val="1E1E1E"/>
        </w:rPr>
      </w:pPr>
      <w:r>
        <w:rPr>
          <w:rFonts w:ascii="Garamond" w:hAnsi="Garamond" w:cs="Times New Roman"/>
          <w:color w:val="1E1E1E"/>
        </w:rPr>
        <w:t>archival flows</w:t>
      </w:r>
    </w:p>
    <w:p w14:paraId="5B019AD7" w14:textId="6749E855" w:rsidR="003B2E76" w:rsidRPr="003B2E76" w:rsidRDefault="003B2E76" w:rsidP="003B2E76">
      <w:pPr>
        <w:shd w:val="clear" w:color="auto" w:fill="FFFFFF"/>
        <w:spacing w:after="300"/>
        <w:textAlignment w:val="baseline"/>
        <w:rPr>
          <w:rFonts w:ascii="Garamond" w:hAnsi="Garamond" w:cs="Times New Roman"/>
          <w:color w:val="1E1E1E"/>
        </w:rPr>
        <w:sectPr w:rsidR="003B2E76" w:rsidRPr="003B2E76" w:rsidSect="006A40F6">
          <w:type w:val="continuous"/>
          <w:pgSz w:w="12240" w:h="15840"/>
          <w:pgMar w:top="1296" w:right="1440" w:bottom="1296" w:left="1440" w:header="720" w:footer="720" w:gutter="0"/>
          <w:cols w:num="2" w:space="720"/>
          <w:docGrid w:linePitch="360"/>
        </w:sectPr>
      </w:pPr>
    </w:p>
    <w:p w14:paraId="78F128C0" w14:textId="306FC37A" w:rsidR="008D20E0" w:rsidRDefault="006A40F6" w:rsidP="005564CF">
      <w:pPr>
        <w:shd w:val="clear" w:color="auto" w:fill="FFFFFF"/>
        <w:spacing w:after="300"/>
        <w:jc w:val="both"/>
        <w:textAlignment w:val="baseline"/>
        <w:rPr>
          <w:rFonts w:ascii="Garamond" w:hAnsi="Garamond" w:cs="Times New Roman"/>
          <w:color w:val="1E1E1E"/>
        </w:rPr>
      </w:pPr>
      <w:r>
        <w:rPr>
          <w:rFonts w:ascii="Garamond" w:hAnsi="Garamond" w:cs="Times New Roman"/>
          <w:color w:val="1E1E1E"/>
        </w:rPr>
        <w:t xml:space="preserve">There are three ways to participate in the conference. Participants may choose to </w:t>
      </w:r>
      <w:r w:rsidRPr="00AD02DD">
        <w:rPr>
          <w:rFonts w:ascii="Garamond" w:hAnsi="Garamond" w:cs="Times New Roman"/>
          <w:b/>
          <w:bCs/>
          <w:color w:val="1E1E1E"/>
        </w:rPr>
        <w:t>1)</w:t>
      </w:r>
      <w:r>
        <w:rPr>
          <w:rFonts w:ascii="Garamond" w:hAnsi="Garamond" w:cs="Times New Roman"/>
          <w:color w:val="1E1E1E"/>
        </w:rPr>
        <w:t xml:space="preserve"> propose a thread (like the examples above) and organize panels based on papers submitted to that thread, </w:t>
      </w:r>
      <w:r w:rsidRPr="00AD02DD">
        <w:rPr>
          <w:rFonts w:ascii="Garamond" w:hAnsi="Garamond" w:cs="Times New Roman"/>
          <w:b/>
          <w:bCs/>
          <w:color w:val="1E1E1E"/>
        </w:rPr>
        <w:t>2)</w:t>
      </w:r>
      <w:r>
        <w:rPr>
          <w:rFonts w:ascii="Garamond" w:hAnsi="Garamond" w:cs="Times New Roman"/>
          <w:color w:val="1E1E1E"/>
        </w:rPr>
        <w:t xml:space="preserve"> propose a complete panel of 3 pre-selected papers around a set theme, or </w:t>
      </w:r>
      <w:r w:rsidRPr="00AD02DD">
        <w:rPr>
          <w:rFonts w:ascii="Garamond" w:hAnsi="Garamond" w:cs="Times New Roman"/>
          <w:b/>
          <w:bCs/>
          <w:color w:val="1E1E1E"/>
        </w:rPr>
        <w:t>3)</w:t>
      </w:r>
      <w:r>
        <w:rPr>
          <w:rFonts w:ascii="Garamond" w:hAnsi="Garamond" w:cs="Times New Roman"/>
          <w:color w:val="1E1E1E"/>
        </w:rPr>
        <w:t xml:space="preserve"> submit an individual paper to either a proposed thread or to the general call. </w:t>
      </w:r>
    </w:p>
    <w:p w14:paraId="72849616" w14:textId="637EB55D" w:rsidR="005564CF" w:rsidRPr="00B06225" w:rsidRDefault="00B06225" w:rsidP="005564CF">
      <w:pPr>
        <w:shd w:val="clear" w:color="auto" w:fill="FFFFFF"/>
        <w:spacing w:after="300"/>
        <w:jc w:val="both"/>
        <w:textAlignment w:val="baseline"/>
        <w:rPr>
          <w:rFonts w:ascii="Garamond" w:hAnsi="Garamond" w:cs="Times New Roman"/>
          <w:color w:val="1E1E1E"/>
        </w:rPr>
      </w:pPr>
      <w:r w:rsidRPr="00B06225">
        <w:rPr>
          <w:rFonts w:ascii="Garamond" w:hAnsi="Garamond" w:cs="Times New Roman"/>
          <w:color w:val="1E1E1E"/>
        </w:rPr>
        <w:t>Papers should be twenty minutes in length, and commentary is provided for each paper</w:t>
      </w:r>
      <w:r w:rsidR="005564CF">
        <w:rPr>
          <w:rFonts w:ascii="Garamond" w:hAnsi="Garamond" w:cs="Times New Roman"/>
          <w:color w:val="1E1E1E"/>
        </w:rPr>
        <w:t>,</w:t>
      </w:r>
      <w:r w:rsidRPr="00B06225">
        <w:rPr>
          <w:rFonts w:ascii="Garamond" w:hAnsi="Garamond" w:cs="Times New Roman"/>
          <w:color w:val="1E1E1E"/>
        </w:rPr>
        <w:t xml:space="preserve"> presented</w:t>
      </w:r>
      <w:r w:rsidR="005C3768">
        <w:rPr>
          <w:rFonts w:ascii="Garamond" w:hAnsi="Garamond" w:cs="Times New Roman"/>
          <w:color w:val="1E1E1E"/>
        </w:rPr>
        <w:t xml:space="preserve"> by an invited respondent</w:t>
      </w:r>
      <w:r w:rsidRPr="00B06225">
        <w:rPr>
          <w:rFonts w:ascii="Garamond" w:hAnsi="Garamond" w:cs="Times New Roman"/>
          <w:color w:val="1E1E1E"/>
        </w:rPr>
        <w:t xml:space="preserve">. We </w:t>
      </w:r>
      <w:r w:rsidR="005C3768">
        <w:rPr>
          <w:rFonts w:ascii="Garamond" w:hAnsi="Garamond" w:cs="Times New Roman"/>
          <w:color w:val="1E1E1E"/>
        </w:rPr>
        <w:t>welcome</w:t>
      </w:r>
      <w:r w:rsidRPr="00B06225">
        <w:rPr>
          <w:rFonts w:ascii="Garamond" w:hAnsi="Garamond" w:cs="Times New Roman"/>
          <w:color w:val="1E1E1E"/>
        </w:rPr>
        <w:t xml:space="preserve"> papers from all disciplines, and encourage contributions from medievalists working on any geographic area. A seminar will also seek contributions; please look for its separate CFP soon. Participants in the Colloquium are generally limited to holders of a Ph.D. and those currently in a Ph.D. program.</w:t>
      </w:r>
      <w:r w:rsidR="00124552">
        <w:rPr>
          <w:rFonts w:ascii="Garamond" w:hAnsi="Garamond" w:cs="Times New Roman"/>
          <w:color w:val="1E1E1E"/>
        </w:rPr>
        <w:t xml:space="preserve"> </w:t>
      </w:r>
    </w:p>
    <w:p w14:paraId="30DE75D9" w14:textId="381089BA" w:rsidR="00124552" w:rsidRPr="00AD02DD" w:rsidRDefault="00593CDE" w:rsidP="005564CF">
      <w:pPr>
        <w:shd w:val="clear" w:color="auto" w:fill="FFFFFF"/>
        <w:jc w:val="center"/>
        <w:textAlignment w:val="baseline"/>
        <w:rPr>
          <w:rFonts w:ascii="Garamond" w:hAnsi="Garamond" w:cs="Times New Roman"/>
          <w:color w:val="1E1E1E"/>
        </w:rPr>
      </w:pPr>
      <w:r>
        <w:rPr>
          <w:rFonts w:ascii="Garamond" w:hAnsi="Garamond" w:cs="Times New Roman"/>
          <w:color w:val="1E1E1E"/>
        </w:rPr>
        <w:t>Submissions for threads, panels, and papers are made</w:t>
      </w:r>
      <w:r w:rsidR="00B06225" w:rsidRPr="00B06225">
        <w:rPr>
          <w:rFonts w:ascii="Garamond" w:hAnsi="Garamond" w:cs="Times New Roman"/>
          <w:color w:val="1E1E1E"/>
        </w:rPr>
        <w:t xml:space="preserve"> via our website (</w:t>
      </w:r>
      <w:hyperlink r:id="rId6" w:history="1">
        <w:r w:rsidR="00B06225" w:rsidRPr="00B06225">
          <w:rPr>
            <w:rFonts w:ascii="Garamond" w:hAnsi="Garamond" w:cs="Times New Roman"/>
            <w:color w:val="CF3200"/>
            <w:bdr w:val="none" w:sz="0" w:space="0" w:color="auto" w:frame="1"/>
          </w:rPr>
          <w:t>http://medievalcolloquium.sewanee.edu</w:t>
        </w:r>
      </w:hyperlink>
      <w:r w:rsidR="00B06225" w:rsidRPr="00B06225">
        <w:rPr>
          <w:rFonts w:ascii="Garamond" w:hAnsi="Garamond" w:cs="Times New Roman"/>
          <w:color w:val="1E1E1E"/>
        </w:rPr>
        <w:t>)</w:t>
      </w:r>
      <w:r>
        <w:rPr>
          <w:rFonts w:ascii="Garamond" w:hAnsi="Garamond" w:cs="Times New Roman"/>
          <w:b/>
          <w:bCs/>
          <w:color w:val="1E1E1E"/>
          <w:bdr w:val="none" w:sz="0" w:space="0" w:color="auto" w:frame="1"/>
        </w:rPr>
        <w:t>. Thread proposals are due Aug. 1</w:t>
      </w:r>
      <w:r w:rsidRPr="00593CDE">
        <w:rPr>
          <w:rFonts w:ascii="Garamond" w:hAnsi="Garamond" w:cs="Times New Roman"/>
          <w:b/>
          <w:bCs/>
          <w:color w:val="1E1E1E"/>
          <w:bdr w:val="none" w:sz="0" w:space="0" w:color="auto" w:frame="1"/>
          <w:vertAlign w:val="superscript"/>
        </w:rPr>
        <w:t>st</w:t>
      </w:r>
      <w:r>
        <w:rPr>
          <w:rFonts w:ascii="Garamond" w:hAnsi="Garamond" w:cs="Times New Roman"/>
          <w:b/>
          <w:bCs/>
          <w:color w:val="1E1E1E"/>
          <w:bdr w:val="none" w:sz="0" w:space="0" w:color="auto" w:frame="1"/>
        </w:rPr>
        <w:t xml:space="preserve">, and paper and panel submissions </w:t>
      </w:r>
      <w:r w:rsidR="00AD02DD">
        <w:rPr>
          <w:rFonts w:ascii="Garamond" w:hAnsi="Garamond" w:cs="Times New Roman"/>
          <w:b/>
          <w:bCs/>
          <w:color w:val="1E1E1E"/>
          <w:bdr w:val="none" w:sz="0" w:space="0" w:color="auto" w:frame="1"/>
        </w:rPr>
        <w:t xml:space="preserve">(250 words) </w:t>
      </w:r>
      <w:r>
        <w:rPr>
          <w:rFonts w:ascii="Garamond" w:hAnsi="Garamond" w:cs="Times New Roman"/>
          <w:b/>
          <w:bCs/>
          <w:color w:val="1E1E1E"/>
          <w:bdr w:val="none" w:sz="0" w:space="0" w:color="auto" w:frame="1"/>
        </w:rPr>
        <w:t xml:space="preserve">are due </w:t>
      </w:r>
      <w:r w:rsidR="00093E39">
        <w:rPr>
          <w:rFonts w:ascii="Garamond" w:hAnsi="Garamond" w:cs="Times New Roman"/>
          <w:b/>
          <w:bCs/>
          <w:color w:val="1E1E1E"/>
          <w:bdr w:val="none" w:sz="0" w:space="0" w:color="auto" w:frame="1"/>
        </w:rPr>
        <w:t>October 21</w:t>
      </w:r>
      <w:r w:rsidR="00093E39">
        <w:rPr>
          <w:rFonts w:ascii="Garamond" w:hAnsi="Garamond" w:cs="Times New Roman"/>
          <w:b/>
          <w:bCs/>
          <w:color w:val="1E1E1E"/>
          <w:bdr w:val="none" w:sz="0" w:space="0" w:color="auto" w:frame="1"/>
          <w:vertAlign w:val="superscript"/>
        </w:rPr>
        <w:t>st</w:t>
      </w:r>
      <w:r w:rsidR="00093E39">
        <w:rPr>
          <w:rFonts w:ascii="Garamond" w:hAnsi="Garamond" w:cs="Times New Roman"/>
          <w:b/>
          <w:bCs/>
          <w:color w:val="1E1E1E"/>
          <w:bdr w:val="none" w:sz="0" w:space="0" w:color="auto" w:frame="1"/>
        </w:rPr>
        <w:t>.</w:t>
      </w:r>
    </w:p>
    <w:sectPr w:rsidR="00124552" w:rsidRPr="00AD02DD" w:rsidSect="006A40F6">
      <w:type w:val="continuous"/>
      <w:pgSz w:w="12240" w:h="15840"/>
      <w:pgMar w:top="1296" w:right="1440" w:bottom="129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Monaco">
    <w:panose1 w:val="02000500000000000000"/>
    <w:charset w:val="00"/>
    <w:family w:val="auto"/>
    <w:pitch w:val="variable"/>
    <w:sig w:usb0="A00002FF" w:usb1="500039FB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961BBA"/>
    <w:multiLevelType w:val="hybridMultilevel"/>
    <w:tmpl w:val="EBAE14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13807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225"/>
    <w:rsid w:val="00093E39"/>
    <w:rsid w:val="00124552"/>
    <w:rsid w:val="00305474"/>
    <w:rsid w:val="0039312C"/>
    <w:rsid w:val="003B2E76"/>
    <w:rsid w:val="00443CBF"/>
    <w:rsid w:val="00467062"/>
    <w:rsid w:val="005306C6"/>
    <w:rsid w:val="005564CF"/>
    <w:rsid w:val="00593CDE"/>
    <w:rsid w:val="005C3768"/>
    <w:rsid w:val="00646066"/>
    <w:rsid w:val="0069737B"/>
    <w:rsid w:val="006A40F6"/>
    <w:rsid w:val="008D20E0"/>
    <w:rsid w:val="00A80769"/>
    <w:rsid w:val="00AD02DD"/>
    <w:rsid w:val="00B06225"/>
    <w:rsid w:val="00BC5DE0"/>
    <w:rsid w:val="00C96B54"/>
    <w:rsid w:val="00CB2994"/>
    <w:rsid w:val="00E416B2"/>
    <w:rsid w:val="00E928C4"/>
    <w:rsid w:val="00ED5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C72A2A9"/>
  <w14:defaultImageDpi w14:val="300"/>
  <w15:docId w15:val="{295808D9-B19E-4443-81B3-81A611293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2994"/>
    <w:rPr>
      <w:rFonts w:ascii="Times New Roman" w:hAnsi="Times New Roman"/>
    </w:rPr>
  </w:style>
  <w:style w:type="paragraph" w:styleId="Heading2">
    <w:name w:val="heading 2"/>
    <w:basedOn w:val="Normal"/>
    <w:link w:val="Heading2Char"/>
    <w:uiPriority w:val="9"/>
    <w:qFormat/>
    <w:rsid w:val="00B06225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06225"/>
    <w:rPr>
      <w:rFonts w:ascii="Times" w:hAnsi="Times"/>
      <w:b/>
      <w:bCs/>
      <w:sz w:val="36"/>
      <w:szCs w:val="36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B06225"/>
    <w:rPr>
      <w:rFonts w:ascii="Times" w:hAnsi="Times"/>
      <w:i/>
      <w:iCs/>
      <w:sz w:val="20"/>
      <w:szCs w:val="20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06225"/>
    <w:rPr>
      <w:rFonts w:ascii="Times" w:hAnsi="Times"/>
      <w:i/>
      <w:iCs/>
      <w:sz w:val="20"/>
      <w:szCs w:val="20"/>
    </w:rPr>
  </w:style>
  <w:style w:type="character" w:styleId="Strong">
    <w:name w:val="Strong"/>
    <w:basedOn w:val="DefaultParagraphFont"/>
    <w:uiPriority w:val="22"/>
    <w:qFormat/>
    <w:rsid w:val="00B0622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0622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B06225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B06225"/>
  </w:style>
  <w:style w:type="paragraph" w:styleId="BalloonText">
    <w:name w:val="Balloon Text"/>
    <w:basedOn w:val="Normal"/>
    <w:link w:val="BalloonTextChar"/>
    <w:uiPriority w:val="99"/>
    <w:semiHidden/>
    <w:unhideWhenUsed/>
    <w:rsid w:val="00B0622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22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D5A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24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medievalcolloquium.sewanee.edu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317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mwi</dc:creator>
  <cp:keywords/>
  <dc:description/>
  <cp:lastModifiedBy>Stephanie Batkie</cp:lastModifiedBy>
  <cp:revision>13</cp:revision>
  <dcterms:created xsi:type="dcterms:W3CDTF">2022-06-13T19:56:00Z</dcterms:created>
  <dcterms:modified xsi:type="dcterms:W3CDTF">2022-06-15T14:33:00Z</dcterms:modified>
</cp:coreProperties>
</file>